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1BC" w:rsidRDefault="009131BC">
      <w:pPr>
        <w:rPr>
          <w:rFonts w:ascii="Helvetica" w:hAnsi="Helvetica"/>
          <w:color w:val="1B1B1B"/>
          <w:sz w:val="27"/>
          <w:szCs w:val="27"/>
          <w:shd w:val="clear" w:color="auto" w:fill="FFFFFF"/>
        </w:rPr>
      </w:pPr>
    </w:p>
    <w:p w:rsidR="00556A77" w:rsidRDefault="00556A77" w:rsidP="00556A77">
      <w:pPr>
        <w:spacing w:line="480" w:lineRule="auto"/>
        <w:jc w:val="center"/>
        <w:rPr>
          <w:rFonts w:ascii="Times New Roman" w:hAnsi="Times New Roman" w:cs="Times New Roman"/>
          <w:color w:val="1B1B1B"/>
          <w:sz w:val="24"/>
          <w:szCs w:val="24"/>
          <w:shd w:val="clear" w:color="auto" w:fill="FFFFFF"/>
        </w:rPr>
      </w:pPr>
    </w:p>
    <w:p w:rsidR="00556A77" w:rsidRDefault="00556A77" w:rsidP="00556A77">
      <w:pPr>
        <w:spacing w:line="480" w:lineRule="auto"/>
        <w:jc w:val="center"/>
        <w:rPr>
          <w:rFonts w:ascii="Times New Roman" w:hAnsi="Times New Roman" w:cs="Times New Roman"/>
          <w:color w:val="1B1B1B"/>
          <w:sz w:val="24"/>
          <w:szCs w:val="24"/>
          <w:shd w:val="clear" w:color="auto" w:fill="FFFFFF"/>
        </w:rPr>
      </w:pPr>
    </w:p>
    <w:p w:rsidR="00556A77" w:rsidRDefault="00556A77" w:rsidP="00556A77">
      <w:pPr>
        <w:spacing w:line="480" w:lineRule="auto"/>
        <w:jc w:val="center"/>
        <w:rPr>
          <w:rFonts w:ascii="Times New Roman" w:hAnsi="Times New Roman" w:cs="Times New Roman"/>
          <w:color w:val="1B1B1B"/>
          <w:sz w:val="24"/>
          <w:szCs w:val="24"/>
          <w:shd w:val="clear" w:color="auto" w:fill="FFFFFF"/>
        </w:rPr>
      </w:pPr>
    </w:p>
    <w:p w:rsidR="009131BC" w:rsidRPr="00556A77" w:rsidRDefault="00556A77" w:rsidP="00556A77">
      <w:pPr>
        <w:spacing w:line="480" w:lineRule="auto"/>
        <w:jc w:val="center"/>
        <w:rPr>
          <w:rFonts w:ascii="Times New Roman" w:hAnsi="Times New Roman" w:cs="Times New Roman"/>
          <w:color w:val="1B1B1B"/>
          <w:sz w:val="24"/>
          <w:szCs w:val="24"/>
          <w:shd w:val="clear" w:color="auto" w:fill="FFFFFF"/>
        </w:rPr>
      </w:pPr>
      <w:r w:rsidRPr="00556A77">
        <w:rPr>
          <w:rFonts w:ascii="Times New Roman" w:hAnsi="Times New Roman" w:cs="Times New Roman"/>
          <w:color w:val="1B1B1B"/>
          <w:sz w:val="24"/>
          <w:szCs w:val="24"/>
          <w:shd w:val="clear" w:color="auto" w:fill="FFFFFF"/>
        </w:rPr>
        <w:t>Female circumcision</w:t>
      </w:r>
    </w:p>
    <w:p w:rsidR="009131BC" w:rsidRPr="00556A77" w:rsidRDefault="00D636A7" w:rsidP="00556A77">
      <w:pPr>
        <w:spacing w:line="480" w:lineRule="auto"/>
        <w:jc w:val="center"/>
        <w:rPr>
          <w:rFonts w:ascii="Times New Roman" w:hAnsi="Times New Roman" w:cs="Times New Roman"/>
          <w:color w:val="1B1B1B"/>
          <w:sz w:val="24"/>
          <w:szCs w:val="24"/>
          <w:shd w:val="clear" w:color="auto" w:fill="FFFFFF"/>
        </w:rPr>
      </w:pPr>
      <w:r w:rsidRPr="00556A77">
        <w:rPr>
          <w:rFonts w:ascii="Times New Roman" w:hAnsi="Times New Roman" w:cs="Times New Roman"/>
          <w:color w:val="1B1B1B"/>
          <w:sz w:val="24"/>
          <w:szCs w:val="24"/>
          <w:shd w:val="clear" w:color="auto" w:fill="FFFFFF"/>
        </w:rPr>
        <w:t>Institutional affiliation</w:t>
      </w:r>
    </w:p>
    <w:p w:rsidR="009131BC" w:rsidRPr="00556A77" w:rsidRDefault="00D636A7" w:rsidP="00556A77">
      <w:pPr>
        <w:spacing w:line="480" w:lineRule="auto"/>
        <w:jc w:val="center"/>
        <w:rPr>
          <w:rFonts w:ascii="Times New Roman" w:hAnsi="Times New Roman" w:cs="Times New Roman"/>
          <w:color w:val="1B1B1B"/>
          <w:sz w:val="24"/>
          <w:szCs w:val="24"/>
          <w:shd w:val="clear" w:color="auto" w:fill="FFFFFF"/>
        </w:rPr>
      </w:pPr>
      <w:r w:rsidRPr="00556A77">
        <w:rPr>
          <w:rFonts w:ascii="Times New Roman" w:hAnsi="Times New Roman" w:cs="Times New Roman"/>
          <w:color w:val="1B1B1B"/>
          <w:sz w:val="24"/>
          <w:szCs w:val="24"/>
          <w:shd w:val="clear" w:color="auto" w:fill="FFFFFF"/>
        </w:rPr>
        <w:t>Student name</w:t>
      </w:r>
    </w:p>
    <w:p w:rsidR="009131BC" w:rsidRPr="009131BC" w:rsidRDefault="00D636A7" w:rsidP="00556A77">
      <w:pPr>
        <w:spacing w:line="480" w:lineRule="auto"/>
        <w:jc w:val="center"/>
        <w:rPr>
          <w:rFonts w:ascii="Times New Roman" w:hAnsi="Times New Roman" w:cs="Times New Roman"/>
          <w:color w:val="1B1B1B"/>
          <w:sz w:val="24"/>
          <w:szCs w:val="24"/>
          <w:shd w:val="clear" w:color="auto" w:fill="FFFFFF"/>
        </w:rPr>
      </w:pPr>
      <w:r w:rsidRPr="00556A77">
        <w:rPr>
          <w:rFonts w:ascii="Times New Roman" w:hAnsi="Times New Roman" w:cs="Times New Roman"/>
          <w:color w:val="1B1B1B"/>
          <w:sz w:val="24"/>
          <w:szCs w:val="24"/>
          <w:shd w:val="clear" w:color="auto" w:fill="FFFFFF"/>
        </w:rPr>
        <w:t>Date</w:t>
      </w:r>
    </w:p>
    <w:p w:rsidR="009131BC" w:rsidRDefault="009131BC" w:rsidP="004371EF">
      <w:pPr>
        <w:spacing w:line="480" w:lineRule="auto"/>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556A77" w:rsidRPr="00556A77" w:rsidRDefault="00556A77" w:rsidP="00556A77">
      <w:pPr>
        <w:spacing w:line="480" w:lineRule="auto"/>
        <w:jc w:val="center"/>
        <w:rPr>
          <w:rFonts w:ascii="Times New Roman" w:hAnsi="Times New Roman" w:cs="Times New Roman"/>
          <w:b/>
          <w:color w:val="1B1B1B"/>
          <w:sz w:val="24"/>
          <w:szCs w:val="24"/>
          <w:shd w:val="clear" w:color="auto" w:fill="FFFFFF"/>
        </w:rPr>
      </w:pPr>
      <w:r w:rsidRPr="00556A77">
        <w:rPr>
          <w:rFonts w:ascii="Times New Roman" w:hAnsi="Times New Roman" w:cs="Times New Roman"/>
          <w:b/>
          <w:color w:val="1B1B1B"/>
          <w:sz w:val="24"/>
          <w:szCs w:val="24"/>
          <w:shd w:val="clear" w:color="auto" w:fill="FFFFFF"/>
        </w:rPr>
        <w:lastRenderedPageBreak/>
        <w:t>Female circumcision</w:t>
      </w:r>
      <w:bookmarkStart w:id="0" w:name="_GoBack"/>
      <w:bookmarkEnd w:id="0"/>
    </w:p>
    <w:p w:rsidR="007C7D6B" w:rsidRPr="009131BC" w:rsidRDefault="00D636A7" w:rsidP="00556A77">
      <w:pPr>
        <w:spacing w:line="480" w:lineRule="auto"/>
        <w:ind w:firstLine="720"/>
        <w:rPr>
          <w:rFonts w:ascii="Times New Roman" w:hAnsi="Times New Roman" w:cs="Times New Roman"/>
          <w:color w:val="1B1B1B"/>
          <w:sz w:val="24"/>
          <w:szCs w:val="24"/>
          <w:shd w:val="clear" w:color="auto" w:fill="FFFFFF"/>
        </w:rPr>
      </w:pPr>
      <w:r w:rsidRPr="009131BC">
        <w:rPr>
          <w:rFonts w:ascii="Times New Roman" w:hAnsi="Times New Roman" w:cs="Times New Roman"/>
          <w:color w:val="1B1B1B"/>
          <w:sz w:val="24"/>
          <w:szCs w:val="24"/>
          <w:shd w:val="clear" w:color="auto" w:fill="FFFFFF"/>
        </w:rPr>
        <w:t xml:space="preserve">The law is concerned for the welfare of </w:t>
      </w:r>
      <w:r w:rsidR="001F704D" w:rsidRPr="009131BC">
        <w:rPr>
          <w:rFonts w:ascii="Times New Roman" w:hAnsi="Times New Roman" w:cs="Times New Roman"/>
          <w:color w:val="1B1B1B"/>
          <w:sz w:val="24"/>
          <w:szCs w:val="24"/>
          <w:shd w:val="clear" w:color="auto" w:fill="FFFFFF"/>
        </w:rPr>
        <w:t>those involved in female Genital cutting acts.</w:t>
      </w:r>
      <w:r w:rsidR="009A0CD4" w:rsidRPr="009131BC">
        <w:rPr>
          <w:rFonts w:ascii="Times New Roman" w:hAnsi="Times New Roman" w:cs="Times New Roman"/>
          <w:color w:val="1B1B1B"/>
          <w:sz w:val="24"/>
          <w:szCs w:val="24"/>
          <w:shd w:val="clear" w:color="auto" w:fill="FFFFFF"/>
        </w:rPr>
        <w:t xml:space="preserve"> Therefore state intervention in prohibited female circumcision acts that are carried out by consenting adults is accepted and justified. Am on the view that consent should only be considered irrelevant and therefore the state is allowed to control the action when much epidermises such as death, diseases, and </w:t>
      </w:r>
      <w:r w:rsidR="00BC25D3" w:rsidRPr="009131BC">
        <w:rPr>
          <w:rFonts w:ascii="Times New Roman" w:hAnsi="Times New Roman" w:cs="Times New Roman"/>
          <w:color w:val="1B1B1B"/>
          <w:sz w:val="24"/>
          <w:szCs w:val="24"/>
          <w:shd w:val="clear" w:color="auto" w:fill="FFFFFF"/>
        </w:rPr>
        <w:t>bodily harm to the individuals practicing the acts.</w:t>
      </w:r>
      <w:r w:rsidR="00D64B35" w:rsidRPr="009131BC">
        <w:rPr>
          <w:rFonts w:ascii="Times New Roman" w:hAnsi="Times New Roman" w:cs="Times New Roman"/>
          <w:color w:val="1B1B1B"/>
          <w:sz w:val="24"/>
          <w:szCs w:val="24"/>
          <w:shd w:val="clear" w:color="auto" w:fill="FFFFFF"/>
        </w:rPr>
        <w:t xml:space="preserve"> International body campaign to finish female circumcision since the early 1990s. The international body tries to eliminate female Genital cutting because it is a violation of human right. They also come up with strategies that offer protection and respect for the culture of the families </w:t>
      </w:r>
      <w:r w:rsidR="009131BC" w:rsidRPr="009131BC">
        <w:rPr>
          <w:rFonts w:ascii="Times New Roman" w:hAnsi="Times New Roman" w:cs="Times New Roman"/>
          <w:color w:val="1B1B1B"/>
          <w:sz w:val="24"/>
          <w:szCs w:val="24"/>
          <w:shd w:val="clear" w:color="auto" w:fill="FFFFFF"/>
        </w:rPr>
        <w:t>that are affected (</w:t>
      </w:r>
      <w:r w:rsidR="009131BC" w:rsidRPr="009131BC">
        <w:rPr>
          <w:rFonts w:ascii="Times New Roman" w:hAnsi="Times New Roman" w:cs="Times New Roman"/>
          <w:color w:val="222222"/>
          <w:sz w:val="24"/>
          <w:szCs w:val="24"/>
          <w:shd w:val="clear" w:color="auto" w:fill="FFFFFF"/>
        </w:rPr>
        <w:t xml:space="preserve">Kimmel et al. 2008) </w:t>
      </w:r>
    </w:p>
    <w:p w:rsidR="000B6396" w:rsidRPr="009131BC" w:rsidRDefault="00D636A7" w:rsidP="00556A77">
      <w:pPr>
        <w:spacing w:line="480" w:lineRule="auto"/>
        <w:ind w:firstLine="720"/>
        <w:rPr>
          <w:rFonts w:ascii="Times New Roman" w:hAnsi="Times New Roman" w:cs="Times New Roman"/>
          <w:color w:val="1B1B1B"/>
          <w:sz w:val="24"/>
          <w:szCs w:val="24"/>
          <w:shd w:val="clear" w:color="auto" w:fill="FFFFFF"/>
        </w:rPr>
      </w:pPr>
      <w:r w:rsidRPr="009131BC">
        <w:rPr>
          <w:rFonts w:ascii="Times New Roman" w:hAnsi="Times New Roman" w:cs="Times New Roman"/>
          <w:color w:val="1B1B1B"/>
          <w:sz w:val="24"/>
          <w:szCs w:val="24"/>
          <w:shd w:val="clear" w:color="auto" w:fill="FFFFFF"/>
        </w:rPr>
        <w:t xml:space="preserve">According to </w:t>
      </w:r>
      <w:r w:rsidR="00556A77">
        <w:rPr>
          <w:rFonts w:ascii="Times New Roman" w:hAnsi="Times New Roman" w:cs="Times New Roman"/>
          <w:color w:val="222222"/>
          <w:sz w:val="24"/>
          <w:szCs w:val="24"/>
          <w:shd w:val="clear" w:color="auto" w:fill="FFFFFF"/>
        </w:rPr>
        <w:t xml:space="preserve">Chan &amp; Garrick </w:t>
      </w:r>
      <w:r w:rsidRPr="009131BC">
        <w:rPr>
          <w:rFonts w:ascii="Times New Roman" w:hAnsi="Times New Roman" w:cs="Times New Roman"/>
          <w:color w:val="222222"/>
          <w:sz w:val="24"/>
          <w:szCs w:val="24"/>
          <w:shd w:val="clear" w:color="auto" w:fill="FFFFFF"/>
        </w:rPr>
        <w:t>(2002), f</w:t>
      </w:r>
      <w:r w:rsidRPr="009131BC">
        <w:rPr>
          <w:rFonts w:ascii="Times New Roman" w:hAnsi="Times New Roman" w:cs="Times New Roman"/>
          <w:color w:val="1B1B1B"/>
          <w:sz w:val="24"/>
          <w:szCs w:val="24"/>
          <w:shd w:val="clear" w:color="auto" w:fill="FFFFFF"/>
        </w:rPr>
        <w:t xml:space="preserve">emale genital </w:t>
      </w:r>
      <w:r w:rsidR="00EA3E06" w:rsidRPr="009131BC">
        <w:rPr>
          <w:rFonts w:ascii="Times New Roman" w:hAnsi="Times New Roman" w:cs="Times New Roman"/>
          <w:color w:val="1B1B1B"/>
          <w:sz w:val="24"/>
          <w:szCs w:val="24"/>
          <w:shd w:val="clear" w:color="auto" w:fill="FFFFFF"/>
        </w:rPr>
        <w:t>cutting is the procedures that alter and cause harm and pain to the female genital organs for non- medication reasons. The act has no benefit for young girls and women in any society. The process causes many problems such as severe bleeding that can lead to death, infection, urinating problems, and increase the risk of immature birth</w:t>
      </w:r>
      <w:r w:rsidRPr="009131BC">
        <w:rPr>
          <w:rFonts w:ascii="Times New Roman" w:hAnsi="Times New Roman" w:cs="Times New Roman"/>
          <w:color w:val="1B1B1B"/>
          <w:sz w:val="24"/>
          <w:szCs w:val="24"/>
          <w:shd w:val="clear" w:color="auto" w:fill="FFFFFF"/>
        </w:rPr>
        <w:t xml:space="preserve"> </w:t>
      </w:r>
      <w:r w:rsidR="009131BC" w:rsidRPr="009131BC">
        <w:rPr>
          <w:rFonts w:ascii="Times New Roman" w:hAnsi="Times New Roman" w:cs="Times New Roman"/>
          <w:color w:val="1B1B1B"/>
          <w:sz w:val="24"/>
          <w:szCs w:val="24"/>
          <w:shd w:val="clear" w:color="auto" w:fill="FFFFFF"/>
        </w:rPr>
        <w:t>(</w:t>
      </w:r>
      <w:r w:rsidR="00556A77">
        <w:rPr>
          <w:rFonts w:ascii="Times New Roman" w:hAnsi="Times New Roman" w:cs="Times New Roman"/>
          <w:color w:val="222222"/>
          <w:sz w:val="24"/>
          <w:szCs w:val="24"/>
          <w:shd w:val="clear" w:color="auto" w:fill="FFFFFF"/>
        </w:rPr>
        <w:t>Han</w:t>
      </w:r>
      <w:r w:rsidR="009131BC" w:rsidRPr="009131BC">
        <w:rPr>
          <w:rFonts w:ascii="Times New Roman" w:hAnsi="Times New Roman" w:cs="Times New Roman"/>
          <w:color w:val="222222"/>
          <w:sz w:val="24"/>
          <w:szCs w:val="24"/>
          <w:shd w:val="clear" w:color="auto" w:fill="FFFFFF"/>
        </w:rPr>
        <w:t xml:space="preserve"> 2002</w:t>
      </w:r>
      <w:r w:rsidRPr="009131BC">
        <w:rPr>
          <w:rFonts w:ascii="Times New Roman" w:hAnsi="Times New Roman" w:cs="Times New Roman"/>
          <w:color w:val="222222"/>
          <w:sz w:val="24"/>
          <w:szCs w:val="24"/>
          <w:shd w:val="clear" w:color="auto" w:fill="FFFFFF"/>
        </w:rPr>
        <w:t>).</w:t>
      </w:r>
      <w:r w:rsidR="00EA3E06" w:rsidRPr="009131BC">
        <w:rPr>
          <w:rFonts w:ascii="Times New Roman" w:hAnsi="Times New Roman" w:cs="Times New Roman"/>
          <w:color w:val="1B1B1B"/>
          <w:sz w:val="24"/>
          <w:szCs w:val="24"/>
          <w:shd w:val="clear" w:color="auto" w:fill="FFFFFF"/>
        </w:rPr>
        <w:t xml:space="preserve"> </w:t>
      </w:r>
      <w:r w:rsidR="00667C4A" w:rsidRPr="009131BC">
        <w:rPr>
          <w:rFonts w:ascii="Times New Roman" w:hAnsi="Times New Roman" w:cs="Times New Roman"/>
          <w:color w:val="1B1B1B"/>
          <w:sz w:val="24"/>
          <w:szCs w:val="24"/>
          <w:shd w:val="clear" w:color="auto" w:fill="FFFFFF"/>
        </w:rPr>
        <w:t>The right to live in the community needs practices of certain norms to</w:t>
      </w:r>
      <w:r w:rsidR="008B0E03" w:rsidRPr="009131BC">
        <w:rPr>
          <w:rFonts w:ascii="Times New Roman" w:hAnsi="Times New Roman" w:cs="Times New Roman"/>
          <w:color w:val="1B1B1B"/>
          <w:sz w:val="24"/>
          <w:szCs w:val="24"/>
          <w:shd w:val="clear" w:color="auto" w:fill="FFFFFF"/>
        </w:rPr>
        <w:t>w</w:t>
      </w:r>
      <w:r w:rsidR="00BA3B26" w:rsidRPr="009131BC">
        <w:rPr>
          <w:rFonts w:ascii="Times New Roman" w:hAnsi="Times New Roman" w:cs="Times New Roman"/>
          <w:color w:val="1B1B1B"/>
          <w:sz w:val="24"/>
          <w:szCs w:val="24"/>
          <w:shd w:val="clear" w:color="auto" w:fill="FFFFFF"/>
        </w:rPr>
        <w:t>ard each other in the society or</w:t>
      </w:r>
      <w:r w:rsidR="008B0E03" w:rsidRPr="009131BC">
        <w:rPr>
          <w:rFonts w:ascii="Times New Roman" w:hAnsi="Times New Roman" w:cs="Times New Roman"/>
          <w:color w:val="1B1B1B"/>
          <w:sz w:val="24"/>
          <w:szCs w:val="24"/>
          <w:shd w:val="clear" w:color="auto" w:fill="FFFFFF"/>
        </w:rPr>
        <w:t xml:space="preserve"> even </w:t>
      </w:r>
      <w:r w:rsidR="00BA3B26" w:rsidRPr="009131BC">
        <w:rPr>
          <w:rFonts w:ascii="Times New Roman" w:hAnsi="Times New Roman" w:cs="Times New Roman"/>
          <w:color w:val="1B1B1B"/>
          <w:sz w:val="24"/>
          <w:szCs w:val="24"/>
          <w:shd w:val="clear" w:color="auto" w:fill="FFFFFF"/>
        </w:rPr>
        <w:t>specific interest which express legal understanding that is considered a right. In any state, the importance of law is to protect its citizens from exploitation and harm.Encouraging Female Genital cutting that causes pain and harm to the people, we are underm</w:t>
      </w:r>
      <w:r w:rsidRPr="009131BC">
        <w:rPr>
          <w:rFonts w:ascii="Times New Roman" w:hAnsi="Times New Roman" w:cs="Times New Roman"/>
          <w:color w:val="1B1B1B"/>
          <w:sz w:val="24"/>
          <w:szCs w:val="24"/>
          <w:shd w:val="clear" w:color="auto" w:fill="FFFFFF"/>
        </w:rPr>
        <w:t>ining the importance of the law (</w:t>
      </w:r>
      <w:r w:rsidR="00556A77">
        <w:rPr>
          <w:rFonts w:ascii="Times New Roman" w:hAnsi="Times New Roman" w:cs="Times New Roman"/>
          <w:color w:val="222222"/>
          <w:sz w:val="24"/>
          <w:szCs w:val="24"/>
          <w:shd w:val="clear" w:color="auto" w:fill="FFFFFF"/>
        </w:rPr>
        <w:t>Chan</w:t>
      </w:r>
      <w:r w:rsidRPr="009131BC">
        <w:rPr>
          <w:rFonts w:ascii="Times New Roman" w:hAnsi="Times New Roman" w:cs="Times New Roman"/>
          <w:color w:val="222222"/>
          <w:sz w:val="24"/>
          <w:szCs w:val="24"/>
          <w:shd w:val="clear" w:color="auto" w:fill="FFFFFF"/>
        </w:rPr>
        <w:t xml:space="preserve"> &amp; Garrick, 2002).</w:t>
      </w:r>
    </w:p>
    <w:p w:rsidR="00BA3B26" w:rsidRPr="009131BC" w:rsidRDefault="00D636A7" w:rsidP="00556A77">
      <w:pPr>
        <w:spacing w:line="480" w:lineRule="auto"/>
        <w:ind w:firstLine="720"/>
        <w:rPr>
          <w:rFonts w:ascii="Times New Roman" w:hAnsi="Times New Roman" w:cs="Times New Roman"/>
          <w:color w:val="1B1B1B"/>
          <w:sz w:val="24"/>
          <w:szCs w:val="24"/>
          <w:shd w:val="clear" w:color="auto" w:fill="FFFFFF"/>
        </w:rPr>
      </w:pPr>
      <w:r w:rsidRPr="009131BC">
        <w:rPr>
          <w:rFonts w:ascii="Times New Roman" w:hAnsi="Times New Roman" w:cs="Times New Roman"/>
          <w:color w:val="1B1B1B"/>
          <w:sz w:val="24"/>
          <w:szCs w:val="24"/>
          <w:shd w:val="clear" w:color="auto" w:fill="FFFFFF"/>
        </w:rPr>
        <w:t>In any society, each individual belongs the part of life in which the individual is interested. The state assumes that individuals in the society are independent that have the mental capacity to choose what is right for themselves</w:t>
      </w:r>
      <w:r w:rsidR="00D24474" w:rsidRPr="009131BC">
        <w:rPr>
          <w:rFonts w:ascii="Times New Roman" w:hAnsi="Times New Roman" w:cs="Times New Roman"/>
          <w:color w:val="1B1B1B"/>
          <w:sz w:val="24"/>
          <w:szCs w:val="24"/>
          <w:shd w:val="clear" w:color="auto" w:fill="FFFFFF"/>
        </w:rPr>
        <w:t xml:space="preserve"> (</w:t>
      </w:r>
      <w:r w:rsidR="00556A77">
        <w:rPr>
          <w:rFonts w:ascii="Times New Roman" w:hAnsi="Times New Roman" w:cs="Times New Roman"/>
          <w:color w:val="222222"/>
          <w:sz w:val="24"/>
          <w:szCs w:val="24"/>
          <w:shd w:val="clear" w:color="auto" w:fill="FFFFFF"/>
        </w:rPr>
        <w:t>Popkewitz</w:t>
      </w:r>
      <w:r w:rsidR="00D24474" w:rsidRPr="009131BC">
        <w:rPr>
          <w:rFonts w:ascii="Times New Roman" w:hAnsi="Times New Roman" w:cs="Times New Roman"/>
          <w:color w:val="222222"/>
          <w:sz w:val="24"/>
          <w:szCs w:val="24"/>
          <w:shd w:val="clear" w:color="auto" w:fill="FFFFFF"/>
        </w:rPr>
        <w:t xml:space="preserve"> &amp; Brennan</w:t>
      </w:r>
      <w:r w:rsidR="009131BC" w:rsidRPr="009131BC">
        <w:rPr>
          <w:rFonts w:ascii="Times New Roman" w:hAnsi="Times New Roman" w:cs="Times New Roman"/>
          <w:color w:val="222222"/>
          <w:sz w:val="24"/>
          <w:szCs w:val="24"/>
          <w:shd w:val="clear" w:color="auto" w:fill="FFFFFF"/>
        </w:rPr>
        <w:t>, 1997</w:t>
      </w:r>
      <w:r w:rsidR="00D24474" w:rsidRPr="009131BC">
        <w:rPr>
          <w:rFonts w:ascii="Times New Roman" w:hAnsi="Times New Roman" w:cs="Times New Roman"/>
          <w:color w:val="222222"/>
          <w:sz w:val="24"/>
          <w:szCs w:val="24"/>
          <w:shd w:val="clear" w:color="auto" w:fill="FFFFFF"/>
        </w:rPr>
        <w:t>)</w:t>
      </w:r>
      <w:r w:rsidRPr="009131BC">
        <w:rPr>
          <w:rFonts w:ascii="Times New Roman" w:hAnsi="Times New Roman" w:cs="Times New Roman"/>
          <w:color w:val="1B1B1B"/>
          <w:sz w:val="24"/>
          <w:szCs w:val="24"/>
          <w:shd w:val="clear" w:color="auto" w:fill="FFFFFF"/>
        </w:rPr>
        <w:t>.</w:t>
      </w:r>
      <w:r w:rsidR="008521A3" w:rsidRPr="009131BC">
        <w:rPr>
          <w:rFonts w:ascii="Times New Roman" w:hAnsi="Times New Roman" w:cs="Times New Roman"/>
          <w:color w:val="1B1B1B"/>
          <w:sz w:val="24"/>
          <w:szCs w:val="24"/>
          <w:shd w:val="clear" w:color="auto" w:fill="FFFFFF"/>
        </w:rPr>
        <w:t xml:space="preserve"> Higher causes of violence and potential dangers such as death, excessive bleeding and high risk of infant death </w:t>
      </w:r>
      <w:r w:rsidR="008521A3" w:rsidRPr="009131BC">
        <w:rPr>
          <w:rFonts w:ascii="Times New Roman" w:hAnsi="Times New Roman" w:cs="Times New Roman"/>
          <w:color w:val="1B1B1B"/>
          <w:sz w:val="24"/>
          <w:szCs w:val="24"/>
          <w:shd w:val="clear" w:color="auto" w:fill="FFFFFF"/>
        </w:rPr>
        <w:lastRenderedPageBreak/>
        <w:t>fo</w:t>
      </w:r>
      <w:r w:rsidR="009131BC" w:rsidRPr="009131BC">
        <w:rPr>
          <w:rFonts w:ascii="Times New Roman" w:hAnsi="Times New Roman" w:cs="Times New Roman"/>
          <w:color w:val="1B1B1B"/>
          <w:sz w:val="24"/>
          <w:szCs w:val="24"/>
          <w:shd w:val="clear" w:color="auto" w:fill="FFFFFF"/>
        </w:rPr>
        <w:t>cus to</w:t>
      </w:r>
      <w:r w:rsidR="008521A3" w:rsidRPr="009131BC">
        <w:rPr>
          <w:rFonts w:ascii="Times New Roman" w:hAnsi="Times New Roman" w:cs="Times New Roman"/>
          <w:color w:val="1B1B1B"/>
          <w:sz w:val="24"/>
          <w:szCs w:val="24"/>
          <w:shd w:val="clear" w:color="auto" w:fill="FFFFFF"/>
        </w:rPr>
        <w:t xml:space="preserve"> the extent of danger caused and the limits of the consent carried by older adults in the community. I argue that not only actual bodily pain and harm caused in the process but the publicity of the festivals and ceremony </w:t>
      </w:r>
      <w:r w:rsidR="00FE0CDC" w:rsidRPr="009131BC">
        <w:rPr>
          <w:rFonts w:ascii="Times New Roman" w:hAnsi="Times New Roman" w:cs="Times New Roman"/>
          <w:color w:val="1B1B1B"/>
          <w:sz w:val="24"/>
          <w:szCs w:val="24"/>
          <w:shd w:val="clear" w:color="auto" w:fill="FFFFFF"/>
        </w:rPr>
        <w:t>and lack o</w:t>
      </w:r>
      <w:r w:rsidR="00D24474" w:rsidRPr="009131BC">
        <w:rPr>
          <w:rFonts w:ascii="Times New Roman" w:hAnsi="Times New Roman" w:cs="Times New Roman"/>
          <w:color w:val="1B1B1B"/>
          <w:sz w:val="24"/>
          <w:szCs w:val="24"/>
          <w:shd w:val="clear" w:color="auto" w:fill="FFFFFF"/>
        </w:rPr>
        <w:t>f laws that lead to illegality (</w:t>
      </w:r>
      <w:r w:rsidR="00556A77">
        <w:rPr>
          <w:rFonts w:ascii="Times New Roman" w:hAnsi="Times New Roman" w:cs="Times New Roman"/>
          <w:color w:val="222222"/>
          <w:sz w:val="24"/>
          <w:szCs w:val="24"/>
          <w:shd w:val="clear" w:color="auto" w:fill="FFFFFF"/>
        </w:rPr>
        <w:t>Popkewitz</w:t>
      </w:r>
      <w:r w:rsidR="00D24474" w:rsidRPr="009131BC">
        <w:rPr>
          <w:rFonts w:ascii="Times New Roman" w:hAnsi="Times New Roman" w:cs="Times New Roman"/>
          <w:color w:val="222222"/>
          <w:sz w:val="24"/>
          <w:szCs w:val="24"/>
          <w:shd w:val="clear" w:color="auto" w:fill="FFFFFF"/>
        </w:rPr>
        <w:t xml:space="preserve"> &amp; Brennan, 1997)</w:t>
      </w:r>
    </w:p>
    <w:p w:rsidR="00544FC7" w:rsidRPr="009131BC" w:rsidRDefault="00D636A7" w:rsidP="00556A77">
      <w:pPr>
        <w:spacing w:line="480" w:lineRule="auto"/>
        <w:ind w:firstLine="720"/>
        <w:rPr>
          <w:rFonts w:ascii="Times New Roman" w:hAnsi="Times New Roman" w:cs="Times New Roman"/>
          <w:color w:val="1B1B1B"/>
          <w:sz w:val="24"/>
          <w:szCs w:val="24"/>
          <w:shd w:val="clear" w:color="auto" w:fill="FFFFFF"/>
        </w:rPr>
      </w:pPr>
      <w:r w:rsidRPr="009131BC">
        <w:rPr>
          <w:rFonts w:ascii="Times New Roman" w:hAnsi="Times New Roman" w:cs="Times New Roman"/>
          <w:color w:val="1B1B1B"/>
          <w:sz w:val="24"/>
          <w:szCs w:val="24"/>
          <w:shd w:val="clear" w:color="auto" w:fill="FFFFFF"/>
        </w:rPr>
        <w:t>Informed consent, according to</w:t>
      </w:r>
      <w:r w:rsidR="00556A77">
        <w:rPr>
          <w:rFonts w:ascii="Times New Roman" w:hAnsi="Times New Roman" w:cs="Times New Roman"/>
          <w:color w:val="222222"/>
          <w:sz w:val="24"/>
          <w:szCs w:val="24"/>
          <w:shd w:val="clear" w:color="auto" w:fill="FFFFFF"/>
        </w:rPr>
        <w:t xml:space="preserve"> Richlin </w:t>
      </w:r>
      <w:r w:rsidR="00D24474" w:rsidRPr="009131BC">
        <w:rPr>
          <w:rFonts w:ascii="Times New Roman" w:hAnsi="Times New Roman" w:cs="Times New Roman"/>
          <w:color w:val="222222"/>
          <w:sz w:val="24"/>
          <w:szCs w:val="24"/>
          <w:shd w:val="clear" w:color="auto" w:fill="FFFFFF"/>
        </w:rPr>
        <w:t>(1998).</w:t>
      </w:r>
      <w:r w:rsidRPr="009131BC">
        <w:rPr>
          <w:rFonts w:ascii="Times New Roman" w:hAnsi="Times New Roman" w:cs="Times New Roman"/>
          <w:color w:val="1B1B1B"/>
          <w:sz w:val="24"/>
          <w:szCs w:val="24"/>
          <w:shd w:val="clear" w:color="auto" w:fill="FFFFFF"/>
        </w:rPr>
        <w:t xml:space="preserve"> Is the permission given with awareness of the consequences and with the knowledge of the possibility of benefits and risks? Female Genital cutting is abundant with many risks to the concerned girls and women in society.</w:t>
      </w:r>
      <w:r w:rsidR="00BF64F9" w:rsidRPr="009131BC">
        <w:rPr>
          <w:rFonts w:ascii="Times New Roman" w:hAnsi="Times New Roman" w:cs="Times New Roman"/>
          <w:color w:val="1B1B1B"/>
          <w:sz w:val="24"/>
          <w:szCs w:val="24"/>
          <w:shd w:val="clear" w:color="auto" w:fill="FFFFFF"/>
        </w:rPr>
        <w:t xml:space="preserve"> I also argue that the consent should only be seen irrelevant in the case it causes body pain and harm, thus violating the human right. It is evident that consent, according to female </w:t>
      </w:r>
      <w:r w:rsidR="00FB0C8B" w:rsidRPr="009131BC">
        <w:rPr>
          <w:rFonts w:ascii="Times New Roman" w:hAnsi="Times New Roman" w:cs="Times New Roman"/>
          <w:color w:val="1B1B1B"/>
          <w:sz w:val="24"/>
          <w:szCs w:val="24"/>
          <w:shd w:val="clear" w:color="auto" w:fill="FFFFFF"/>
        </w:rPr>
        <w:t>circumcision</w:t>
      </w:r>
      <w:r w:rsidR="00BF64F9" w:rsidRPr="009131BC">
        <w:rPr>
          <w:rFonts w:ascii="Times New Roman" w:hAnsi="Times New Roman" w:cs="Times New Roman"/>
          <w:color w:val="1B1B1B"/>
          <w:sz w:val="24"/>
          <w:szCs w:val="24"/>
          <w:shd w:val="clear" w:color="auto" w:fill="FFFFFF"/>
        </w:rPr>
        <w:t>, is the case of bodily harm</w:t>
      </w:r>
      <w:r w:rsidR="00FB0C8B" w:rsidRPr="009131BC">
        <w:rPr>
          <w:rFonts w:ascii="Times New Roman" w:hAnsi="Times New Roman" w:cs="Times New Roman"/>
          <w:color w:val="1B1B1B"/>
          <w:sz w:val="24"/>
          <w:szCs w:val="24"/>
          <w:shd w:val="clear" w:color="auto" w:fill="FFFFFF"/>
        </w:rPr>
        <w:t xml:space="preserve"> and pain. The acts will make the state to intervene the female cutting acts and eliminate it in the society. Finally, the state should be consistent in its method to eliminate any acts that threaten to undermine the human right in society. </w:t>
      </w:r>
    </w:p>
    <w:p w:rsidR="009131BC" w:rsidRPr="009131BC" w:rsidRDefault="009131BC" w:rsidP="009131BC">
      <w:pPr>
        <w:spacing w:line="480" w:lineRule="auto"/>
        <w:rPr>
          <w:rFonts w:ascii="Times New Roman" w:hAnsi="Times New Roman" w:cs="Times New Roman"/>
          <w:color w:val="1B1B1B"/>
          <w:sz w:val="24"/>
          <w:szCs w:val="24"/>
          <w:shd w:val="clear" w:color="auto" w:fill="FFFFFF"/>
        </w:rPr>
      </w:pPr>
    </w:p>
    <w:p w:rsidR="009131BC" w:rsidRPr="009131BC" w:rsidRDefault="009131BC" w:rsidP="009131BC">
      <w:pPr>
        <w:spacing w:line="480" w:lineRule="auto"/>
        <w:rPr>
          <w:rFonts w:ascii="Times New Roman" w:hAnsi="Times New Roman" w:cs="Times New Roman"/>
          <w:color w:val="1B1B1B"/>
          <w:sz w:val="24"/>
          <w:szCs w:val="24"/>
          <w:shd w:val="clear" w:color="auto" w:fill="FFFFFF"/>
        </w:rPr>
      </w:pPr>
    </w:p>
    <w:p w:rsidR="009131BC" w:rsidRDefault="009131BC">
      <w:pPr>
        <w:rPr>
          <w:rFonts w:ascii="Times New Roman" w:hAnsi="Times New Roman" w:cs="Times New Roman"/>
          <w:color w:val="1B1B1B"/>
          <w:shd w:val="clear" w:color="auto" w:fill="FFFFFF"/>
        </w:rPr>
      </w:pPr>
    </w:p>
    <w:p w:rsidR="009131BC" w:rsidRDefault="009131BC">
      <w:pPr>
        <w:rPr>
          <w:rFonts w:ascii="Times New Roman" w:hAnsi="Times New Roman" w:cs="Times New Roman"/>
          <w:color w:val="1B1B1B"/>
          <w:shd w:val="clear" w:color="auto" w:fill="FFFFFF"/>
        </w:rPr>
      </w:pPr>
    </w:p>
    <w:p w:rsidR="009131BC" w:rsidRDefault="009131BC">
      <w:pPr>
        <w:rPr>
          <w:rFonts w:ascii="Times New Roman" w:hAnsi="Times New Roman" w:cs="Times New Roman"/>
          <w:color w:val="1B1B1B"/>
          <w:shd w:val="clear" w:color="auto" w:fill="FFFFFF"/>
        </w:rPr>
      </w:pPr>
    </w:p>
    <w:p w:rsidR="009131BC" w:rsidRDefault="009131BC">
      <w:pPr>
        <w:rPr>
          <w:rFonts w:ascii="Times New Roman" w:hAnsi="Times New Roman" w:cs="Times New Roman"/>
          <w:color w:val="1B1B1B"/>
          <w:shd w:val="clear" w:color="auto" w:fill="FFFFFF"/>
        </w:rPr>
      </w:pPr>
    </w:p>
    <w:p w:rsidR="009131BC" w:rsidRDefault="009131BC">
      <w:pPr>
        <w:rPr>
          <w:rFonts w:ascii="Times New Roman" w:hAnsi="Times New Roman" w:cs="Times New Roman"/>
          <w:color w:val="1B1B1B"/>
          <w:shd w:val="clear" w:color="auto" w:fill="FFFFFF"/>
        </w:rPr>
      </w:pPr>
    </w:p>
    <w:p w:rsidR="009131BC" w:rsidRDefault="009131BC">
      <w:pPr>
        <w:rPr>
          <w:rFonts w:ascii="Times New Roman" w:hAnsi="Times New Roman" w:cs="Times New Roman"/>
          <w:color w:val="1B1B1B"/>
          <w:shd w:val="clear" w:color="auto" w:fill="FFFFFF"/>
        </w:rPr>
      </w:pPr>
    </w:p>
    <w:p w:rsidR="009131BC" w:rsidRDefault="009131BC">
      <w:pPr>
        <w:rPr>
          <w:rFonts w:ascii="Times New Roman" w:hAnsi="Times New Roman" w:cs="Times New Roman"/>
          <w:color w:val="1B1B1B"/>
          <w:shd w:val="clear" w:color="auto" w:fill="FFFFFF"/>
        </w:rPr>
      </w:pPr>
    </w:p>
    <w:p w:rsidR="009131BC" w:rsidRDefault="009131BC">
      <w:pPr>
        <w:rPr>
          <w:rFonts w:ascii="Times New Roman" w:hAnsi="Times New Roman" w:cs="Times New Roman"/>
          <w:color w:val="1B1B1B"/>
          <w:shd w:val="clear" w:color="auto" w:fill="FFFFFF"/>
        </w:rPr>
      </w:pPr>
    </w:p>
    <w:p w:rsidR="009131BC" w:rsidRDefault="009131BC">
      <w:pPr>
        <w:rPr>
          <w:rFonts w:ascii="Times New Roman" w:hAnsi="Times New Roman" w:cs="Times New Roman"/>
          <w:color w:val="1B1B1B"/>
          <w:shd w:val="clear" w:color="auto" w:fill="FFFFFF"/>
        </w:rPr>
      </w:pPr>
    </w:p>
    <w:p w:rsidR="009131BC" w:rsidRDefault="009131BC">
      <w:pPr>
        <w:rPr>
          <w:rFonts w:ascii="Times New Roman" w:hAnsi="Times New Roman" w:cs="Times New Roman"/>
          <w:color w:val="1B1B1B"/>
          <w:shd w:val="clear" w:color="auto" w:fill="FFFFFF"/>
        </w:rPr>
      </w:pPr>
    </w:p>
    <w:p w:rsidR="009131BC" w:rsidRDefault="009131BC">
      <w:pPr>
        <w:rPr>
          <w:rFonts w:ascii="Times New Roman" w:hAnsi="Times New Roman" w:cs="Times New Roman"/>
          <w:color w:val="1B1B1B"/>
          <w:shd w:val="clear" w:color="auto" w:fill="FFFFFF"/>
        </w:rPr>
      </w:pPr>
    </w:p>
    <w:p w:rsidR="00556A77" w:rsidRDefault="00556A77" w:rsidP="009131BC">
      <w:pPr>
        <w:jc w:val="center"/>
        <w:rPr>
          <w:rFonts w:ascii="Times New Roman" w:hAnsi="Times New Roman" w:cs="Times New Roman"/>
          <w:color w:val="1B1B1B"/>
          <w:shd w:val="clear" w:color="auto" w:fill="FFFFFF"/>
        </w:rPr>
      </w:pPr>
    </w:p>
    <w:p w:rsidR="00556A77" w:rsidRDefault="00556A77" w:rsidP="009131BC">
      <w:pPr>
        <w:jc w:val="center"/>
        <w:rPr>
          <w:rFonts w:ascii="Times New Roman" w:hAnsi="Times New Roman" w:cs="Times New Roman"/>
          <w:color w:val="1B1B1B"/>
          <w:shd w:val="clear" w:color="auto" w:fill="FFFFFF"/>
        </w:rPr>
      </w:pPr>
    </w:p>
    <w:p w:rsidR="00FB0C8B" w:rsidRDefault="00D636A7" w:rsidP="009131BC">
      <w:pPr>
        <w:jc w:val="center"/>
        <w:rPr>
          <w:rFonts w:ascii="Times New Roman" w:hAnsi="Times New Roman" w:cs="Times New Roman"/>
          <w:color w:val="1B1B1B"/>
          <w:shd w:val="clear" w:color="auto" w:fill="FFFFFF"/>
        </w:rPr>
      </w:pPr>
      <w:r>
        <w:rPr>
          <w:rFonts w:ascii="Times New Roman" w:hAnsi="Times New Roman" w:cs="Times New Roman"/>
          <w:color w:val="1B1B1B"/>
          <w:shd w:val="clear" w:color="auto" w:fill="FFFFFF"/>
        </w:rPr>
        <w:t>References.</w:t>
      </w:r>
    </w:p>
    <w:p w:rsidR="004371EF" w:rsidRPr="009131BC" w:rsidRDefault="00D636A7" w:rsidP="009131BC">
      <w:pPr>
        <w:spacing w:line="480" w:lineRule="auto"/>
        <w:ind w:left="720" w:hanging="720"/>
        <w:rPr>
          <w:rFonts w:ascii="Times New Roman" w:hAnsi="Times New Roman" w:cs="Times New Roman"/>
          <w:color w:val="222222"/>
          <w:sz w:val="24"/>
          <w:szCs w:val="24"/>
          <w:shd w:val="clear" w:color="auto" w:fill="FFFFFF"/>
        </w:rPr>
      </w:pPr>
      <w:r w:rsidRPr="009131BC">
        <w:rPr>
          <w:rFonts w:ascii="Times New Roman" w:hAnsi="Times New Roman" w:cs="Times New Roman"/>
          <w:color w:val="222222"/>
          <w:sz w:val="24"/>
          <w:szCs w:val="24"/>
          <w:shd w:val="clear" w:color="auto" w:fill="FFFFFF"/>
        </w:rPr>
        <w:t xml:space="preserve">Chan, A., &amp; Garrick, J. (2002). Organization theory in </w:t>
      </w:r>
      <w:r w:rsidRPr="009131BC">
        <w:rPr>
          <w:rFonts w:ascii="Times New Roman" w:hAnsi="Times New Roman" w:cs="Times New Roman"/>
          <w:color w:val="222222"/>
          <w:sz w:val="24"/>
          <w:szCs w:val="24"/>
          <w:shd w:val="clear" w:color="auto" w:fill="FFFFFF"/>
        </w:rPr>
        <w:t>turbulent times: The traces of Foucault's ethics. </w:t>
      </w:r>
      <w:r w:rsidRPr="009131BC">
        <w:rPr>
          <w:rFonts w:ascii="Times New Roman" w:hAnsi="Times New Roman" w:cs="Times New Roman"/>
          <w:i/>
          <w:iCs/>
          <w:color w:val="222222"/>
          <w:sz w:val="24"/>
          <w:szCs w:val="24"/>
          <w:shd w:val="clear" w:color="auto" w:fill="FFFFFF"/>
        </w:rPr>
        <w:t>The organization</w:t>
      </w:r>
      <w:r w:rsidRPr="009131BC">
        <w:rPr>
          <w:rFonts w:ascii="Times New Roman" w:hAnsi="Times New Roman" w:cs="Times New Roman"/>
          <w:color w:val="222222"/>
          <w:sz w:val="24"/>
          <w:szCs w:val="24"/>
          <w:shd w:val="clear" w:color="auto" w:fill="FFFFFF"/>
        </w:rPr>
        <w:t>, </w:t>
      </w:r>
      <w:r w:rsidRPr="009131BC">
        <w:rPr>
          <w:rFonts w:ascii="Times New Roman" w:hAnsi="Times New Roman" w:cs="Times New Roman"/>
          <w:i/>
          <w:iCs/>
          <w:color w:val="222222"/>
          <w:sz w:val="24"/>
          <w:szCs w:val="24"/>
          <w:shd w:val="clear" w:color="auto" w:fill="FFFFFF"/>
        </w:rPr>
        <w:t>9</w:t>
      </w:r>
      <w:r w:rsidRPr="009131BC">
        <w:rPr>
          <w:rFonts w:ascii="Times New Roman" w:hAnsi="Times New Roman" w:cs="Times New Roman"/>
          <w:color w:val="222222"/>
          <w:sz w:val="24"/>
          <w:szCs w:val="24"/>
          <w:shd w:val="clear" w:color="auto" w:fill="FFFFFF"/>
        </w:rPr>
        <w:t>(4), 683-701.</w:t>
      </w:r>
    </w:p>
    <w:p w:rsidR="004371EF" w:rsidRPr="009131BC" w:rsidRDefault="00D636A7" w:rsidP="009131BC">
      <w:pPr>
        <w:spacing w:line="480" w:lineRule="auto"/>
        <w:ind w:left="720" w:hanging="720"/>
        <w:rPr>
          <w:rFonts w:ascii="Times New Roman" w:hAnsi="Times New Roman" w:cs="Times New Roman"/>
          <w:color w:val="222222"/>
          <w:sz w:val="24"/>
          <w:szCs w:val="24"/>
          <w:shd w:val="clear" w:color="auto" w:fill="FFFFFF"/>
        </w:rPr>
      </w:pPr>
      <w:r w:rsidRPr="009131BC">
        <w:rPr>
          <w:rFonts w:ascii="Times New Roman" w:hAnsi="Times New Roman" w:cs="Times New Roman"/>
          <w:color w:val="222222"/>
          <w:sz w:val="24"/>
          <w:szCs w:val="24"/>
          <w:shd w:val="clear" w:color="auto" w:fill="FFFFFF"/>
        </w:rPr>
        <w:t>Han, B. (2002). Foucault’s critical project. </w:t>
      </w:r>
      <w:r w:rsidRPr="009131BC">
        <w:rPr>
          <w:rFonts w:ascii="Times New Roman" w:hAnsi="Times New Roman" w:cs="Times New Roman"/>
          <w:i/>
          <w:iCs/>
          <w:color w:val="222222"/>
          <w:sz w:val="24"/>
          <w:szCs w:val="24"/>
          <w:shd w:val="clear" w:color="auto" w:fill="FFFFFF"/>
        </w:rPr>
        <w:t>Between the Transcendental and the</w:t>
      </w:r>
      <w:r w:rsidRPr="009131BC">
        <w:rPr>
          <w:rFonts w:ascii="Times New Roman" w:hAnsi="Times New Roman" w:cs="Times New Roman"/>
          <w:color w:val="222222"/>
          <w:sz w:val="24"/>
          <w:szCs w:val="24"/>
          <w:shd w:val="clear" w:color="auto" w:fill="FFFFFF"/>
        </w:rPr>
        <w:t>.</w:t>
      </w:r>
    </w:p>
    <w:p w:rsidR="004371EF" w:rsidRPr="009131BC" w:rsidRDefault="00D636A7" w:rsidP="009131BC">
      <w:pPr>
        <w:spacing w:line="480" w:lineRule="auto"/>
        <w:ind w:left="720" w:hanging="720"/>
        <w:rPr>
          <w:rFonts w:ascii="Times New Roman" w:hAnsi="Times New Roman" w:cs="Times New Roman"/>
          <w:color w:val="1B1B1B"/>
          <w:sz w:val="24"/>
          <w:szCs w:val="24"/>
          <w:shd w:val="clear" w:color="auto" w:fill="FFFFFF"/>
        </w:rPr>
      </w:pPr>
      <w:r w:rsidRPr="009131BC">
        <w:rPr>
          <w:rFonts w:ascii="Times New Roman" w:hAnsi="Times New Roman" w:cs="Times New Roman"/>
          <w:color w:val="222222"/>
          <w:sz w:val="24"/>
          <w:szCs w:val="24"/>
          <w:shd w:val="clear" w:color="auto" w:fill="FFFFFF"/>
        </w:rPr>
        <w:t>Kimmel, M. S., Aronson, A., &amp; Kaler, A. (Eds.). (2008). </w:t>
      </w:r>
      <w:r w:rsidRPr="009131BC">
        <w:rPr>
          <w:rFonts w:ascii="Times New Roman" w:hAnsi="Times New Roman" w:cs="Times New Roman"/>
          <w:i/>
          <w:iCs/>
          <w:color w:val="222222"/>
          <w:sz w:val="24"/>
          <w:szCs w:val="24"/>
          <w:shd w:val="clear" w:color="auto" w:fill="FFFFFF"/>
        </w:rPr>
        <w:t>The gendered society reader</w:t>
      </w:r>
      <w:r w:rsidRPr="009131BC">
        <w:rPr>
          <w:rFonts w:ascii="Times New Roman" w:hAnsi="Times New Roman" w:cs="Times New Roman"/>
          <w:color w:val="222222"/>
          <w:sz w:val="24"/>
          <w:szCs w:val="24"/>
          <w:shd w:val="clear" w:color="auto" w:fill="FFFFFF"/>
        </w:rPr>
        <w:t>. New Yor</w:t>
      </w:r>
      <w:r w:rsidRPr="009131BC">
        <w:rPr>
          <w:rFonts w:ascii="Times New Roman" w:hAnsi="Times New Roman" w:cs="Times New Roman"/>
          <w:color w:val="222222"/>
          <w:sz w:val="24"/>
          <w:szCs w:val="24"/>
          <w:shd w:val="clear" w:color="auto" w:fill="FFFFFF"/>
        </w:rPr>
        <w:t>k, NY: Oxford University Press.</w:t>
      </w:r>
    </w:p>
    <w:p w:rsidR="004371EF" w:rsidRPr="009131BC" w:rsidRDefault="00D636A7" w:rsidP="009131BC">
      <w:pPr>
        <w:spacing w:line="480" w:lineRule="auto"/>
        <w:ind w:left="720" w:hanging="720"/>
        <w:rPr>
          <w:rFonts w:ascii="Times New Roman" w:hAnsi="Times New Roman" w:cs="Times New Roman"/>
          <w:color w:val="222222"/>
          <w:sz w:val="24"/>
          <w:szCs w:val="24"/>
          <w:shd w:val="clear" w:color="auto" w:fill="FFFFFF"/>
        </w:rPr>
      </w:pPr>
      <w:r w:rsidRPr="009131BC">
        <w:rPr>
          <w:rFonts w:ascii="Times New Roman" w:hAnsi="Times New Roman" w:cs="Times New Roman"/>
          <w:color w:val="222222"/>
          <w:sz w:val="24"/>
          <w:szCs w:val="24"/>
          <w:shd w:val="clear" w:color="auto" w:fill="FFFFFF"/>
        </w:rPr>
        <w:t>Popkewitz, T. S., &amp; Brennan, M. T. (1997). </w:t>
      </w:r>
      <w:r w:rsidRPr="009131BC">
        <w:rPr>
          <w:rFonts w:ascii="Times New Roman" w:hAnsi="Times New Roman" w:cs="Times New Roman"/>
          <w:i/>
          <w:iCs/>
          <w:color w:val="222222"/>
          <w:sz w:val="24"/>
          <w:szCs w:val="24"/>
          <w:shd w:val="clear" w:color="auto" w:fill="FFFFFF"/>
        </w:rPr>
        <w:t>Foucault's challenge: Discourse, knowledge, and power in education</w:t>
      </w:r>
      <w:r w:rsidRPr="009131BC">
        <w:rPr>
          <w:rFonts w:ascii="Times New Roman" w:hAnsi="Times New Roman" w:cs="Times New Roman"/>
          <w:color w:val="222222"/>
          <w:sz w:val="24"/>
          <w:szCs w:val="24"/>
          <w:shd w:val="clear" w:color="auto" w:fill="FFFFFF"/>
        </w:rPr>
        <w:t>. Teachers College Press.</w:t>
      </w:r>
    </w:p>
    <w:p w:rsidR="004371EF" w:rsidRPr="009131BC" w:rsidRDefault="00D636A7" w:rsidP="009131BC">
      <w:pPr>
        <w:spacing w:line="480" w:lineRule="auto"/>
        <w:ind w:left="720" w:hanging="720"/>
        <w:rPr>
          <w:rFonts w:ascii="Times New Roman" w:hAnsi="Times New Roman" w:cs="Times New Roman"/>
          <w:color w:val="222222"/>
          <w:sz w:val="24"/>
          <w:szCs w:val="24"/>
          <w:shd w:val="clear" w:color="auto" w:fill="FFFFFF"/>
        </w:rPr>
      </w:pPr>
      <w:r w:rsidRPr="009131BC">
        <w:rPr>
          <w:rFonts w:ascii="Times New Roman" w:hAnsi="Times New Roman" w:cs="Times New Roman"/>
          <w:color w:val="222222"/>
          <w:sz w:val="24"/>
          <w:szCs w:val="24"/>
          <w:shd w:val="clear" w:color="auto" w:fill="FFFFFF"/>
        </w:rPr>
        <w:t>Richlin, A. (1998). Foucault’s History of Sexuality: A useful theory for women?. </w:t>
      </w:r>
      <w:r w:rsidRPr="009131BC">
        <w:rPr>
          <w:rFonts w:ascii="Times New Roman" w:hAnsi="Times New Roman" w:cs="Times New Roman"/>
          <w:i/>
          <w:iCs/>
          <w:color w:val="222222"/>
          <w:sz w:val="24"/>
          <w:szCs w:val="24"/>
          <w:shd w:val="clear" w:color="auto" w:fill="FFFFFF"/>
        </w:rPr>
        <w:t>Rethinking Sexuality: Foucault and classical antiquity</w:t>
      </w:r>
      <w:r w:rsidRPr="009131BC">
        <w:rPr>
          <w:rFonts w:ascii="Times New Roman" w:hAnsi="Times New Roman" w:cs="Times New Roman"/>
          <w:color w:val="222222"/>
          <w:sz w:val="24"/>
          <w:szCs w:val="24"/>
          <w:shd w:val="clear" w:color="auto" w:fill="FFFFFF"/>
        </w:rPr>
        <w:t>, 138-70.</w:t>
      </w:r>
    </w:p>
    <w:p w:rsidR="007C7D6B" w:rsidRPr="009131BC" w:rsidRDefault="00D636A7" w:rsidP="009131BC">
      <w:pPr>
        <w:spacing w:line="480" w:lineRule="auto"/>
        <w:ind w:left="720" w:hanging="720"/>
        <w:rPr>
          <w:rFonts w:ascii="Times New Roman" w:hAnsi="Times New Roman" w:cs="Times New Roman"/>
          <w:sz w:val="24"/>
          <w:szCs w:val="24"/>
        </w:rPr>
      </w:pPr>
      <w:r w:rsidRPr="009131BC">
        <w:rPr>
          <w:rFonts w:ascii="Times New Roman" w:hAnsi="Times New Roman" w:cs="Times New Roman"/>
          <w:color w:val="1B1B1B"/>
          <w:sz w:val="24"/>
          <w:szCs w:val="24"/>
          <w:shd w:val="clear" w:color="auto" w:fill="FFFFFF"/>
        </w:rPr>
        <w:t xml:space="preserve"> </w:t>
      </w:r>
    </w:p>
    <w:sectPr w:rsidR="007C7D6B" w:rsidRPr="009131BC" w:rsidSect="009131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36A7" w:rsidRDefault="00D636A7">
      <w:pPr>
        <w:spacing w:after="0" w:line="240" w:lineRule="auto"/>
      </w:pPr>
      <w:r>
        <w:separator/>
      </w:r>
    </w:p>
  </w:endnote>
  <w:endnote w:type="continuationSeparator" w:id="0">
    <w:p w:rsidR="00D636A7" w:rsidRDefault="00D63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36A7" w:rsidRDefault="00D636A7">
      <w:pPr>
        <w:spacing w:after="0" w:line="240" w:lineRule="auto"/>
      </w:pPr>
      <w:r>
        <w:separator/>
      </w:r>
    </w:p>
  </w:footnote>
  <w:footnote w:type="continuationSeparator" w:id="0">
    <w:p w:rsidR="00D636A7" w:rsidRDefault="00D636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A77" w:rsidRPr="00556A77" w:rsidRDefault="00556A77" w:rsidP="00556A77">
    <w:pPr>
      <w:rPr>
        <w:rFonts w:ascii="Times New Roman" w:hAnsi="Times New Roman" w:cs="Times New Roman"/>
        <w:color w:val="1B1B1B"/>
        <w:sz w:val="24"/>
        <w:szCs w:val="24"/>
        <w:shd w:val="clear" w:color="auto" w:fill="FFFFFF"/>
      </w:rPr>
    </w:pPr>
    <w:r w:rsidRPr="00556A77">
      <w:rPr>
        <w:rFonts w:ascii="Times New Roman" w:hAnsi="Times New Roman" w:cs="Times New Roman"/>
        <w:color w:val="1B1B1B"/>
        <w:sz w:val="24"/>
        <w:szCs w:val="24"/>
        <w:shd w:val="clear" w:color="auto" w:fill="FFFFFF"/>
      </w:rPr>
      <w:t>Female circumcision</w:t>
    </w:r>
  </w:p>
  <w:p w:rsidR="009131BC" w:rsidRPr="009131BC" w:rsidRDefault="009131B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A77" w:rsidRPr="00556A77" w:rsidRDefault="00556A77" w:rsidP="00556A77">
    <w:pPr>
      <w:rPr>
        <w:rFonts w:ascii="Times New Roman" w:hAnsi="Times New Roman" w:cs="Times New Roman"/>
        <w:color w:val="1B1B1B"/>
        <w:sz w:val="24"/>
        <w:szCs w:val="24"/>
        <w:shd w:val="clear" w:color="auto" w:fill="FFFFFF"/>
      </w:rPr>
    </w:pPr>
    <w:r w:rsidRPr="00556A77">
      <w:rPr>
        <w:rFonts w:ascii="Times New Roman" w:hAnsi="Times New Roman" w:cs="Times New Roman"/>
        <w:color w:val="1B1B1B"/>
        <w:sz w:val="24"/>
        <w:szCs w:val="24"/>
        <w:shd w:val="clear" w:color="auto" w:fill="FFFFFF"/>
      </w:rPr>
      <w:t xml:space="preserve">Running head: </w:t>
    </w:r>
    <w:r w:rsidRPr="00556A77">
      <w:rPr>
        <w:rFonts w:ascii="Times New Roman" w:hAnsi="Times New Roman" w:cs="Times New Roman"/>
        <w:color w:val="1B1B1B"/>
        <w:sz w:val="24"/>
        <w:szCs w:val="24"/>
        <w:shd w:val="clear" w:color="auto" w:fill="FFFFFF"/>
      </w:rPr>
      <w:t>Female circumcision</w:t>
    </w:r>
  </w:p>
  <w:p w:rsidR="00556A77" w:rsidRDefault="00556A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D55"/>
    <w:rsid w:val="000B5524"/>
    <w:rsid w:val="000B6396"/>
    <w:rsid w:val="00105A50"/>
    <w:rsid w:val="001F704D"/>
    <w:rsid w:val="004371EF"/>
    <w:rsid w:val="00482A5E"/>
    <w:rsid w:val="00544FC7"/>
    <w:rsid w:val="00556A77"/>
    <w:rsid w:val="00667C4A"/>
    <w:rsid w:val="00790D55"/>
    <w:rsid w:val="007C7D6B"/>
    <w:rsid w:val="0082331B"/>
    <w:rsid w:val="008521A3"/>
    <w:rsid w:val="008628CB"/>
    <w:rsid w:val="008B0E03"/>
    <w:rsid w:val="009131BC"/>
    <w:rsid w:val="009A0CD4"/>
    <w:rsid w:val="00BA3B26"/>
    <w:rsid w:val="00BC25D3"/>
    <w:rsid w:val="00BF64F9"/>
    <w:rsid w:val="00D24474"/>
    <w:rsid w:val="00D636A7"/>
    <w:rsid w:val="00D64B35"/>
    <w:rsid w:val="00EA3E06"/>
    <w:rsid w:val="00FB0C8B"/>
    <w:rsid w:val="00FE0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FBE1BB-9D52-4F39-8D97-5851983CB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D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D55"/>
  </w:style>
  <w:style w:type="paragraph" w:styleId="Footer">
    <w:name w:val="footer"/>
    <w:basedOn w:val="Normal"/>
    <w:link w:val="FooterChar"/>
    <w:uiPriority w:val="99"/>
    <w:unhideWhenUsed/>
    <w:rsid w:val="00790D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3196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2019-09-29T05:14:00Z</dcterms:created>
  <dcterms:modified xsi:type="dcterms:W3CDTF">2019-09-29T05:14:00Z</dcterms:modified>
</cp:coreProperties>
</file>